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ind w:firstLine="316" w:firstLineChars="72"/>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南平市第一医院</w:t>
      </w:r>
    </w:p>
    <w:p>
      <w:pPr>
        <w:pStyle w:val="6"/>
        <w:widowControl/>
        <w:spacing w:beforeAutospacing="0" w:afterAutospacing="0"/>
        <w:ind w:firstLine="316" w:firstLineChars="72"/>
        <w:jc w:val="center"/>
        <w:rPr>
          <w:rFonts w:hint="eastAsia"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关于病案密集架采购公告</w:t>
      </w:r>
      <w:r>
        <w:rPr>
          <w:rFonts w:hint="eastAsia" w:ascii="宋体" w:hAnsi="宋体" w:eastAsia="宋体" w:cs="宋体"/>
          <w:color w:val="000000" w:themeColor="text1"/>
          <w:sz w:val="44"/>
          <w:szCs w:val="44"/>
          <w:lang w:eastAsia="zh-CN"/>
          <w14:textFill>
            <w14:solidFill>
              <w14:schemeClr w14:val="tx1"/>
            </w14:solidFill>
          </w14:textFill>
        </w:rPr>
        <w:t>（</w:t>
      </w:r>
      <w:r>
        <w:rPr>
          <w:rFonts w:hint="eastAsia" w:ascii="宋体" w:hAnsi="宋体" w:eastAsia="宋体" w:cs="宋体"/>
          <w:color w:val="000000" w:themeColor="text1"/>
          <w:sz w:val="44"/>
          <w:szCs w:val="44"/>
          <w:lang w:val="en-US" w:eastAsia="zh-CN"/>
          <w14:textFill>
            <w14:solidFill>
              <w14:schemeClr w14:val="tx1"/>
            </w14:solidFill>
          </w14:textFill>
        </w:rPr>
        <w:t>第二次</w:t>
      </w:r>
      <w:r>
        <w:rPr>
          <w:rFonts w:hint="eastAsia" w:ascii="宋体" w:hAnsi="宋体" w:eastAsia="宋体" w:cs="宋体"/>
          <w:color w:val="000000" w:themeColor="text1"/>
          <w:sz w:val="44"/>
          <w:szCs w:val="44"/>
          <w:lang w:eastAsia="zh-CN"/>
          <w14:textFill>
            <w14:solidFill>
              <w14:schemeClr w14:val="tx1"/>
            </w14:solidFill>
          </w14:textFill>
        </w:rPr>
        <w:t>）</w:t>
      </w:r>
    </w:p>
    <w:p>
      <w:pPr>
        <w:pStyle w:val="6"/>
        <w:widowControl/>
        <w:spacing w:beforeAutospacing="0" w:afterAutospacing="0"/>
        <w:ind w:firstLine="566" w:firstLineChars="177"/>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南平市第一医院拟采购钢制八层双柱病案密集架6组，项目情况公布如下：</w:t>
      </w:r>
    </w:p>
    <w:p>
      <w:pPr>
        <w:pStyle w:val="6"/>
        <w:widowControl/>
        <w:spacing w:beforeAutospacing="0" w:afterAutospacing="0"/>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一、采购标的</w:t>
      </w:r>
    </w:p>
    <w:tbl>
      <w:tblPr>
        <w:tblStyle w:val="8"/>
        <w:tblpPr w:leftFromText="180" w:rightFromText="180" w:vertAnchor="text" w:horzAnchor="page" w:tblpXSpec="center" w:tblpY="70"/>
        <w:tblOverlap w:val="never"/>
        <w:tblW w:w="8876" w:type="dxa"/>
        <w:jc w:val="center"/>
        <w:tblInd w:w="0" w:type="dxa"/>
        <w:tblLayout w:type="fixed"/>
        <w:tblCellMar>
          <w:top w:w="0" w:type="dxa"/>
          <w:left w:w="0" w:type="dxa"/>
          <w:bottom w:w="0" w:type="dxa"/>
          <w:right w:w="0" w:type="dxa"/>
        </w:tblCellMar>
      </w:tblPr>
      <w:tblGrid>
        <w:gridCol w:w="629"/>
        <w:gridCol w:w="1659"/>
        <w:gridCol w:w="560"/>
        <w:gridCol w:w="1088"/>
        <w:gridCol w:w="1440"/>
        <w:gridCol w:w="1245"/>
        <w:gridCol w:w="1157"/>
        <w:gridCol w:w="1098"/>
      </w:tblGrid>
      <w:tr>
        <w:tblPrEx>
          <w:tblLayout w:type="fixed"/>
          <w:tblCellMar>
            <w:top w:w="0" w:type="dxa"/>
            <w:left w:w="0" w:type="dxa"/>
            <w:bottom w:w="0" w:type="dxa"/>
            <w:right w:w="0" w:type="dxa"/>
          </w:tblCellMar>
        </w:tblPrEx>
        <w:trPr>
          <w:trHeight w:val="9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序号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产品名称</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规格</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最高单价</w:t>
            </w:r>
            <w:r>
              <w:rPr>
                <w:rFonts w:hint="eastAsia" w:ascii="宋体" w:hAnsi="宋体" w:eastAsia="宋体" w:cs="宋体"/>
                <w:color w:val="000000" w:themeColor="text1"/>
                <w:kern w:val="0"/>
                <w:sz w:val="21"/>
                <w:szCs w:val="21"/>
                <w:lang w:bidi="ar"/>
                <w14:textFill>
                  <w14:solidFill>
                    <w14:schemeClr w14:val="tx1"/>
                  </w14:solidFill>
                </w14:textFill>
              </w:rPr>
              <w:t>（元）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最高总价</w:t>
            </w:r>
            <w:r>
              <w:rPr>
                <w:rFonts w:hint="eastAsia" w:ascii="宋体" w:hAnsi="宋体" w:eastAsia="宋体" w:cs="宋体"/>
                <w:color w:val="000000" w:themeColor="text1"/>
                <w:kern w:val="0"/>
                <w:sz w:val="21"/>
                <w:szCs w:val="21"/>
                <w:lang w:bidi="ar"/>
                <w14:textFill>
                  <w14:solidFill>
                    <w14:schemeClr w14:val="tx1"/>
                  </w14:solidFill>
                </w14:textFill>
              </w:rPr>
              <w:t>（元）</w:t>
            </w:r>
          </w:p>
        </w:tc>
        <w:tc>
          <w:tcPr>
            <w:tcW w:w="10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维保年限</w:t>
            </w:r>
          </w:p>
        </w:tc>
      </w:tr>
      <w:tr>
        <w:tblPrEx>
          <w:tblLayout w:type="fixed"/>
          <w:tblCellMar>
            <w:top w:w="0" w:type="dxa"/>
            <w:left w:w="0" w:type="dxa"/>
            <w:bottom w:w="0" w:type="dxa"/>
            <w:right w:w="0" w:type="dxa"/>
          </w:tblCellMar>
        </w:tblPrEx>
        <w:trPr>
          <w:trHeight w:val="9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八层双柱病案密集架</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长5460*宽750*高2750mm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7800</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46800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10年</w:t>
            </w:r>
          </w:p>
        </w:tc>
      </w:tr>
      <w:tr>
        <w:tblPrEx>
          <w:tblLayout w:type="fixed"/>
          <w:tblCellMar>
            <w:top w:w="0" w:type="dxa"/>
            <w:left w:w="0" w:type="dxa"/>
            <w:bottom w:w="0" w:type="dxa"/>
            <w:right w:w="0" w:type="dxa"/>
          </w:tblCellMar>
        </w:tblPrEx>
        <w:trPr>
          <w:trHeight w:val="1318" w:hRule="atLeast"/>
          <w:jc w:val="center"/>
        </w:trPr>
        <w:tc>
          <w:tcPr>
            <w:tcW w:w="88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备注：材质为钢质。病案架分别平均安装在2个房间，每个房间约18㎡。病案架尺寸如有微调以病案科纸箱规格为准。货物随配标准附件、备品备件、专用工具、包装、运输、运抵指定交货地点、装卸、现场安装调试检验（包含安装所有辅材）、技术培训及技术资料的各种费用和售后服务（含维保年限）、税金及其他所有成本费用的总和。</w:t>
            </w:r>
          </w:p>
        </w:tc>
      </w:tr>
      <w:tr>
        <w:tblPrEx>
          <w:tblLayout w:type="fixed"/>
          <w:tblCellMar>
            <w:top w:w="0" w:type="dxa"/>
            <w:left w:w="0" w:type="dxa"/>
            <w:bottom w:w="0" w:type="dxa"/>
            <w:right w:w="0" w:type="dxa"/>
          </w:tblCellMar>
        </w:tblPrEx>
        <w:trPr>
          <w:trHeight w:val="46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序号</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设备名称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设备配置</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材料规格</w:t>
            </w:r>
          </w:p>
        </w:tc>
      </w:tr>
      <w:tr>
        <w:tblPrEx>
          <w:tblLayout w:type="fixed"/>
          <w:tblCellMar>
            <w:top w:w="0" w:type="dxa"/>
            <w:left w:w="0" w:type="dxa"/>
            <w:bottom w:w="0" w:type="dxa"/>
            <w:right w:w="0" w:type="dxa"/>
          </w:tblCellMar>
        </w:tblPrEx>
        <w:trPr>
          <w:trHeight w:val="40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轨道</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轨 座</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3.0mm钢板</w:t>
            </w:r>
          </w:p>
        </w:tc>
      </w:tr>
      <w:tr>
        <w:tblPrEx>
          <w:tblLayout w:type="fixed"/>
          <w:tblCellMar>
            <w:top w:w="0" w:type="dxa"/>
            <w:left w:w="0" w:type="dxa"/>
            <w:bottom w:w="0" w:type="dxa"/>
            <w:right w:w="0" w:type="dxa"/>
          </w:tblCellMar>
        </w:tblPrEx>
        <w:trPr>
          <w:trHeight w:val="422"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路 轨</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20x20mm钢</w:t>
            </w:r>
          </w:p>
        </w:tc>
      </w:tr>
      <w:tr>
        <w:tblPrEx>
          <w:tblLayout w:type="fixed"/>
          <w:tblCellMar>
            <w:top w:w="0" w:type="dxa"/>
            <w:left w:w="0" w:type="dxa"/>
            <w:bottom w:w="0" w:type="dxa"/>
            <w:right w:w="0" w:type="dxa"/>
          </w:tblCellMar>
        </w:tblPrEx>
        <w:trPr>
          <w:trHeight w:val="46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底座</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底梁、轴承梁</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3.0mm钢板</w:t>
            </w:r>
          </w:p>
        </w:tc>
      </w:tr>
      <w:tr>
        <w:tblPrEx>
          <w:tblLayout w:type="fixed"/>
          <w:tblCellMar>
            <w:top w:w="0" w:type="dxa"/>
            <w:left w:w="0" w:type="dxa"/>
            <w:bottom w:w="0" w:type="dxa"/>
            <w:right w:w="0" w:type="dxa"/>
          </w:tblCellMar>
        </w:tblPrEx>
        <w:trPr>
          <w:trHeight w:val="90"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架体</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立 柱</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1.5mm钢板</w:t>
            </w:r>
          </w:p>
        </w:tc>
      </w:tr>
      <w:tr>
        <w:tblPrEx>
          <w:tblLayout w:type="fixed"/>
          <w:tblCellMar>
            <w:top w:w="0" w:type="dxa"/>
            <w:left w:w="0" w:type="dxa"/>
            <w:bottom w:w="0" w:type="dxa"/>
            <w:right w:w="0" w:type="dxa"/>
          </w:tblCellMar>
        </w:tblPrEx>
        <w:trPr>
          <w:trHeight w:val="9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搁 板</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1.2mm 钢板</w:t>
            </w:r>
          </w:p>
        </w:tc>
      </w:tr>
      <w:tr>
        <w:tblPrEx>
          <w:tblLayout w:type="fixed"/>
          <w:tblCellMar>
            <w:top w:w="0" w:type="dxa"/>
            <w:left w:w="0" w:type="dxa"/>
            <w:bottom w:w="0" w:type="dxa"/>
            <w:right w:w="0" w:type="dxa"/>
          </w:tblCellMar>
        </w:tblPrEx>
        <w:trPr>
          <w:trHeight w:val="9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挂 板</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1.2mm钢板</w:t>
            </w:r>
          </w:p>
        </w:tc>
      </w:tr>
      <w:tr>
        <w:tblPrEx>
          <w:tblLayout w:type="fixed"/>
          <w:tblCellMar>
            <w:top w:w="0" w:type="dxa"/>
            <w:left w:w="0" w:type="dxa"/>
            <w:bottom w:w="0" w:type="dxa"/>
            <w:right w:w="0" w:type="dxa"/>
          </w:tblCellMar>
        </w:tblPrEx>
        <w:trPr>
          <w:trHeight w:val="90"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档 棒</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1.0mm钢板</w:t>
            </w:r>
          </w:p>
        </w:tc>
      </w:tr>
      <w:tr>
        <w:tblPrEx>
          <w:tblLayout w:type="fixed"/>
          <w:tblCellMar>
            <w:top w:w="0" w:type="dxa"/>
            <w:left w:w="0" w:type="dxa"/>
            <w:bottom w:w="0" w:type="dxa"/>
            <w:right w:w="0" w:type="dxa"/>
          </w:tblCellMar>
        </w:tblPrEx>
        <w:trPr>
          <w:trHeight w:val="407" w:hRule="atLeast"/>
          <w:jc w:val="center"/>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22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门面</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门  框</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1.0mm钢板</w:t>
            </w:r>
          </w:p>
        </w:tc>
      </w:tr>
      <w:tr>
        <w:tblPrEx>
          <w:tblLayout w:type="fixed"/>
          <w:tblCellMar>
            <w:top w:w="0" w:type="dxa"/>
            <w:left w:w="0" w:type="dxa"/>
            <w:bottom w:w="0" w:type="dxa"/>
            <w:right w:w="0" w:type="dxa"/>
          </w:tblCellMar>
        </w:tblPrEx>
        <w:trPr>
          <w:trHeight w:val="437" w:hRule="atLeast"/>
          <w:jc w:val="center"/>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themeColor="text1"/>
                <w:sz w:val="21"/>
                <w:szCs w:val="21"/>
                <w14:textFill>
                  <w14:solidFill>
                    <w14:schemeClr w14:val="tx1"/>
                  </w14:solidFill>
                </w14:textFill>
              </w:rPr>
            </w:pPr>
          </w:p>
        </w:tc>
        <w:tc>
          <w:tcPr>
            <w:tcW w:w="22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门  板</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1.0mm钢板</w:t>
            </w:r>
          </w:p>
        </w:tc>
      </w:tr>
      <w:tr>
        <w:tblPrEx>
          <w:tblLayout w:type="fixed"/>
          <w:tblCellMar>
            <w:top w:w="0" w:type="dxa"/>
            <w:left w:w="0" w:type="dxa"/>
            <w:bottom w:w="0" w:type="dxa"/>
            <w:right w:w="0" w:type="dxa"/>
          </w:tblCellMar>
        </w:tblPrEx>
        <w:trPr>
          <w:trHeight w:val="488"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侧板</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侧面板</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1.0mm钢板</w:t>
            </w:r>
          </w:p>
        </w:tc>
      </w:tr>
      <w:tr>
        <w:tblPrEx>
          <w:tblLayout w:type="fixed"/>
          <w:tblCellMar>
            <w:top w:w="0" w:type="dxa"/>
            <w:left w:w="0" w:type="dxa"/>
            <w:bottom w:w="0" w:type="dxa"/>
            <w:right w:w="0" w:type="dxa"/>
          </w:tblCellMar>
        </w:tblPrEx>
        <w:trPr>
          <w:trHeight w:val="168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6</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传动</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机构</w:t>
            </w:r>
          </w:p>
        </w:tc>
        <w:tc>
          <w:tcPr>
            <w:tcW w:w="2528"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轴承、传动轴、连接钢管、齿轮、滚轮、链条、摇手</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要求：手柄可以自动折叠、自动挂档、摇动任何一列均不会带动其他手柄，可单列或多列一起移动。所有传动机构需耐压、耐磨，方向灵活，传动轻便，运行平稳。链条破断力≥1800kg。</w:t>
            </w:r>
          </w:p>
        </w:tc>
      </w:tr>
      <w:tr>
        <w:tblPrEx>
          <w:tblLayout w:type="fixed"/>
          <w:tblCellMar>
            <w:top w:w="0" w:type="dxa"/>
            <w:left w:w="0" w:type="dxa"/>
            <w:bottom w:w="0" w:type="dxa"/>
            <w:right w:w="0" w:type="dxa"/>
          </w:tblCellMar>
        </w:tblPrEx>
        <w:trPr>
          <w:trHeight w:val="9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7</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制动装置</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锁</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每列需装有刹车制动装置，做到每列均可锁定，保障人身安全。每一组合团体均装有总锁装置，每个组合团体均可锁定</w:t>
            </w:r>
          </w:p>
        </w:tc>
      </w:tr>
      <w:tr>
        <w:tblPrEx>
          <w:tblLayout w:type="fixed"/>
          <w:tblCellMar>
            <w:top w:w="0" w:type="dxa"/>
            <w:left w:w="0" w:type="dxa"/>
            <w:bottom w:w="0" w:type="dxa"/>
            <w:right w:w="0" w:type="dxa"/>
          </w:tblCellMar>
        </w:tblPrEx>
        <w:trPr>
          <w:trHeight w:val="1096"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8</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防护装置</w:t>
            </w:r>
          </w:p>
        </w:tc>
        <w:tc>
          <w:tcPr>
            <w:tcW w:w="2528"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1"/>
                <w:szCs w:val="21"/>
                <w14:textFill>
                  <w14:solidFill>
                    <w14:schemeClr w14:val="tx1"/>
                  </w14:solidFill>
                </w14:textFill>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要求：每列接触面均有缓冲及密封装置、具有良好的防震、防尘、防鼠、防潮、防火功能及防倾倒装置</w:t>
            </w:r>
          </w:p>
        </w:tc>
      </w:tr>
      <w:tr>
        <w:tblPrEx>
          <w:tblLayout w:type="fixed"/>
          <w:tblCellMar>
            <w:top w:w="0" w:type="dxa"/>
            <w:left w:w="0" w:type="dxa"/>
            <w:bottom w:w="0" w:type="dxa"/>
            <w:right w:w="0" w:type="dxa"/>
          </w:tblCellMar>
        </w:tblPrEx>
        <w:trPr>
          <w:trHeight w:val="629"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表面处理</w:t>
            </w:r>
          </w:p>
        </w:tc>
        <w:tc>
          <w:tcPr>
            <w:tcW w:w="60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颜色均匀，无流挂、真空、起皱、剥落、划伤等现象。</w:t>
            </w:r>
          </w:p>
        </w:tc>
      </w:tr>
    </w:tbl>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误差率：规格厚度±0.1mm。</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二、采购预算及要求</w:t>
      </w:r>
    </w:p>
    <w:p>
      <w:pPr>
        <w:pStyle w:val="4"/>
        <w:spacing w:line="360" w:lineRule="auto"/>
        <w:ind w:left="640" w:left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（一）采购预算</w:t>
      </w:r>
    </w:p>
    <w:p>
      <w:pPr>
        <w:pStyle w:val="2"/>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采购6组八层双柱病案密集架最高限价为46800元。</w:t>
      </w:r>
    </w:p>
    <w:p>
      <w:pPr>
        <w:pStyle w:val="2"/>
        <w:numPr>
          <w:ilvl w:val="0"/>
          <w:numId w:val="1"/>
        </w:numPr>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采购要求</w:t>
      </w:r>
    </w:p>
    <w:p>
      <w:pPr>
        <w:pStyle w:val="6"/>
        <w:widowControl/>
        <w:numPr>
          <w:ilvl w:val="0"/>
          <w:numId w:val="2"/>
        </w:numPr>
        <w:spacing w:beforeAutospacing="0" w:afterAutospacing="0"/>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货物须为全新并保证正常工作至少10年以上。</w:t>
      </w:r>
    </w:p>
    <w:p>
      <w:pPr>
        <w:pStyle w:val="6"/>
        <w:widowControl/>
        <w:numPr>
          <w:ilvl w:val="0"/>
          <w:numId w:val="2"/>
        </w:numPr>
        <w:spacing w:beforeAutospacing="0" w:afterAutospacing="0"/>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售后维修响应时间：1个工作日。</w:t>
      </w:r>
    </w:p>
    <w:p>
      <w:pPr>
        <w:pStyle w:val="6"/>
        <w:widowControl/>
        <w:numPr>
          <w:ilvl w:val="0"/>
          <w:numId w:val="2"/>
        </w:numPr>
        <w:spacing w:beforeAutospacing="0" w:afterAutospacing="0"/>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以文件参数进行验收，中选方自备测量卡尺，验收合格后一次性全额付款。验收不合格，则一批全部退还，重新供货，供货若再未通过验收，合同履约金不退还，并由报价第二低的供应商供货，若报价第二低的供应商未通过验收，则采购终止，重新公告。</w:t>
      </w:r>
    </w:p>
    <w:p>
      <w:pPr>
        <w:pStyle w:val="2"/>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2、中选方需交纳中选总金额10%的合同履约金到南平市第一医院对公账户。</w:t>
      </w:r>
    </w:p>
    <w:p>
      <w:pPr>
        <w:pStyle w:val="2"/>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依据合同约定的免费保修年限，双方无异议的情况下，分3次无息退还合同履约金，即合同期满3年，设备无故障率应达98%以上，退还合同履约金的30%，满6年，设备故障率介于98%—90%，退还合同履约金的30%，满10年，设备故障率介于89%—80%，退还合同履约金的40%。</w:t>
      </w:r>
    </w:p>
    <w:p>
      <w:pPr>
        <w:pStyle w:val="2"/>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4、全年设备无故障率应达98%以上，低于98%—90%，保修期按1：3延长保修期；低于89%—80%之间按1：5延长保修期；低于80%予以退货。</w:t>
      </w:r>
    </w:p>
    <w:p>
      <w:pPr>
        <w:numPr>
          <w:ilvl w:val="0"/>
          <w:numId w:val="3"/>
        </w:numPr>
        <w:spacing w:line="360" w:lineRule="auto"/>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报价及比选须知</w:t>
      </w:r>
    </w:p>
    <w:p>
      <w:pPr>
        <w:pStyle w:val="2"/>
        <w:spacing w:line="5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（一）报价须知</w:t>
      </w:r>
    </w:p>
    <w:p>
      <w:pPr>
        <w:spacing w:line="360" w:lineRule="auto"/>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1、按采购要求进行报价，报价均为含税及衍伸费用（如差旅费等）。</w:t>
      </w:r>
    </w:p>
    <w:p>
      <w:pPr>
        <w:pStyle w:val="2"/>
        <w:tabs>
          <w:tab w:val="left" w:pos="420"/>
        </w:tabs>
        <w:spacing w:line="360" w:lineRule="auto"/>
        <w:ind w:firstLine="636" w:firstLineChars="199"/>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2、报价表需加盖公章，报价表严禁涂改，涂改视为无效报价。</w:t>
      </w:r>
    </w:p>
    <w:p>
      <w:pPr>
        <w:pStyle w:val="2"/>
        <w:tabs>
          <w:tab w:val="left" w:pos="420"/>
        </w:tabs>
        <w:spacing w:line="360" w:lineRule="auto"/>
        <w:ind w:firstLine="636" w:firstLineChars="199"/>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（二）比选须知</w:t>
      </w:r>
    </w:p>
    <w:p>
      <w:pPr>
        <w:pStyle w:val="2"/>
        <w:spacing w:line="360" w:lineRule="auto"/>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1、本项目采用价低者得的比选方式。报价表密封，并在封口加盖公章，于竞选当日现场开封。</w:t>
      </w:r>
    </w:p>
    <w:p>
      <w:pPr>
        <w:pStyle w:val="2"/>
        <w:spacing w:line="360" w:lineRule="auto"/>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w:t>
      </w:r>
      <w:r>
        <w:rPr>
          <w:rFonts w:hint="eastAsia" w:ascii="宋体" w:hAnsi="宋体" w:cs="宋体"/>
          <w:color w:val="FF0000"/>
          <w:sz w:val="32"/>
          <w:szCs w:val="32"/>
          <w:lang w:val="en-US" w:eastAsia="zh-CN"/>
        </w:rPr>
        <w:t>按实际到场供应商进行比选。</w:t>
      </w:r>
      <w:r>
        <w:rPr>
          <w:rFonts w:hint="eastAsia" w:ascii="宋体" w:hAnsi="宋体" w:cs="宋体"/>
          <w:color w:val="000000" w:themeColor="text1"/>
          <w:sz w:val="32"/>
          <w:szCs w:val="32"/>
          <w14:textFill>
            <w14:solidFill>
              <w14:schemeClr w14:val="tx1"/>
            </w14:solidFill>
          </w14:textFill>
        </w:rPr>
        <w:t>中选后2日内未缴纳合同履约金视为弃选，弃选则依据《中华人民共和国政府采购法实施条例》第四十九条之条款顺延第二名中选。</w:t>
      </w:r>
    </w:p>
    <w:p>
      <w:pPr>
        <w:pStyle w:val="2"/>
        <w:spacing w:line="360" w:lineRule="auto"/>
        <w:ind w:left="640" w:leftChars="200" w:firstLine="0" w:firstLineChars="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3、弃选单位不得参于下一轮招选。</w:t>
      </w:r>
    </w:p>
    <w:p>
      <w:pPr>
        <w:pStyle w:val="2"/>
        <w:spacing w:line="360" w:lineRule="auto"/>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四、报名要求</w:t>
      </w:r>
    </w:p>
    <w:p>
      <w:pPr>
        <w:pStyle w:val="2"/>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（一）报名提交材料</w:t>
      </w:r>
    </w:p>
    <w:p>
      <w:pPr>
        <w:spacing w:line="560" w:lineRule="exact"/>
        <w:ind w:firstLine="736" w:firstLineChars="23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凡有能力提供本招选要求所述条件，具有独立承担民事责任能力且不存在犯罪记录的供应商均可成为合格的投选人。投选人报名时须提交以下资格证明文件：</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1、相关的经营资质的营业执照复印件。</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2、法定代表人的有效身份证明复印件；</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3、法定代表人授权书原件(竞选代表是法定代表人无需授权书)；</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4、竞选人代表的有效身份证明复印件；</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5、参加采购活动前3年内在经营活动中没有重大违法记录的书面声明（时间截止至2023年11月30日）；</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6、报名时需留联系人及联系电话，以便后续通知；</w:t>
      </w:r>
    </w:p>
    <w:p>
      <w:pPr>
        <w:spacing w:line="560" w:lineRule="exact"/>
        <w:ind w:firstLine="640" w:firstLineChars="200"/>
        <w:rPr>
          <w:rFonts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7、以上所述需提供的材料均需加盖公章；</w:t>
      </w:r>
    </w:p>
    <w:p>
      <w:pPr>
        <w:pStyle w:val="6"/>
        <w:widowControl/>
        <w:spacing w:beforeAutospacing="0" w:afterAutospacing="0" w:line="560" w:lineRule="exact"/>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8、不接受网络及电话报名；</w:t>
      </w:r>
    </w:p>
    <w:p>
      <w:pPr>
        <w:pStyle w:val="4"/>
        <w:spacing w:line="360" w:lineRule="auto"/>
        <w:ind w:firstLine="640" w:firstLineChars="200"/>
        <w:rPr>
          <w:rFonts w:hint="eastAsia" w:hAnsi="宋体" w:eastAsia="宋体" w:cs="宋体"/>
          <w:color w:val="000000" w:themeColor="text1"/>
          <w:szCs w:val="32"/>
          <w:lang w:eastAsia="zh-CN"/>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9、报名成功后将给予统一的报价单</w:t>
      </w:r>
      <w:r>
        <w:rPr>
          <w:rFonts w:hint="eastAsia" w:hAnsi="宋体" w:eastAsia="宋体" w:cs="宋体"/>
          <w:color w:val="000000" w:themeColor="text1"/>
          <w:szCs w:val="32"/>
          <w:lang w:eastAsia="zh-CN"/>
          <w14:textFill>
            <w14:solidFill>
              <w14:schemeClr w14:val="tx1"/>
            </w14:solidFill>
          </w14:textFill>
        </w:rPr>
        <w:t>；</w:t>
      </w:r>
    </w:p>
    <w:p>
      <w:pPr>
        <w:pStyle w:val="4"/>
        <w:spacing w:line="360" w:lineRule="auto"/>
        <w:ind w:firstLine="640" w:firstLineChars="200"/>
        <w:rPr>
          <w:rFonts w:hint="default" w:hAnsi="宋体" w:eastAsia="宋体" w:cs="宋体"/>
          <w:color w:val="000000" w:themeColor="text1"/>
          <w:szCs w:val="32"/>
          <w:lang w:val="en-US" w:eastAsia="zh-CN"/>
          <w14:textFill>
            <w14:solidFill>
              <w14:schemeClr w14:val="tx1"/>
            </w14:solidFill>
          </w14:textFill>
        </w:rPr>
      </w:pPr>
      <w:r>
        <w:rPr>
          <w:rFonts w:hint="eastAsia" w:hAnsi="宋体" w:eastAsia="宋体" w:cs="宋体"/>
          <w:color w:val="FF0000"/>
          <w:szCs w:val="32"/>
          <w:lang w:val="en-US" w:eastAsia="zh-CN"/>
        </w:rPr>
        <w:t>10、第一次公告时已提交材料的不需要再重复提交。</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（二）报名时间及地点</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2023年12月</w:t>
      </w:r>
      <w:r>
        <w:rPr>
          <w:rFonts w:hint="eastAsia" w:hAnsi="宋体" w:eastAsia="宋体" w:cs="宋体"/>
          <w:color w:val="000000" w:themeColor="text1"/>
          <w:szCs w:val="32"/>
          <w:lang w:val="en-US" w:eastAsia="zh-CN"/>
          <w14:textFill>
            <w14:solidFill>
              <w14:schemeClr w14:val="tx1"/>
            </w14:solidFill>
          </w14:textFill>
        </w:rPr>
        <w:t>20</w:t>
      </w:r>
      <w:r>
        <w:rPr>
          <w:rFonts w:hint="eastAsia" w:hAnsi="宋体" w:eastAsia="宋体" w:cs="宋体"/>
          <w:color w:val="000000" w:themeColor="text1"/>
          <w:szCs w:val="32"/>
          <w14:textFill>
            <w14:solidFill>
              <w14:schemeClr w14:val="tx1"/>
            </w14:solidFill>
          </w14:textFill>
        </w:rPr>
        <w:t>日--2023年12月</w:t>
      </w:r>
      <w:r>
        <w:rPr>
          <w:rFonts w:hint="eastAsia" w:hAnsi="宋体" w:eastAsia="宋体" w:cs="宋体"/>
          <w:color w:val="000000" w:themeColor="text1"/>
          <w:szCs w:val="32"/>
          <w:lang w:val="en-US" w:eastAsia="zh-CN"/>
          <w14:textFill>
            <w14:solidFill>
              <w14:schemeClr w14:val="tx1"/>
            </w14:solidFill>
          </w14:textFill>
        </w:rPr>
        <w:t>26</w:t>
      </w:r>
      <w:r>
        <w:rPr>
          <w:rFonts w:hint="eastAsia" w:hAnsi="宋体" w:eastAsia="宋体" w:cs="宋体"/>
          <w:color w:val="000000" w:themeColor="text1"/>
          <w:szCs w:val="32"/>
          <w14:textFill>
            <w14:solidFill>
              <w14:schemeClr w14:val="tx1"/>
            </w14:solidFill>
          </w14:textFill>
        </w:rPr>
        <w:t>日止</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工作日：上午8：00-12：00  下午14：30-17：30</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若需邮寄报名材料的，以到件时间为准，到件时间同上，延期视为无效。</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报名地址：南平市延平区中山路317号 南平市第一医院总务科（1）办公室。</w:t>
      </w:r>
    </w:p>
    <w:p>
      <w:pPr>
        <w:pStyle w:val="4"/>
        <w:spacing w:line="360" w:lineRule="auto"/>
        <w:ind w:firstLine="640" w:firstLineChars="200"/>
        <w:rPr>
          <w:rFonts w:hint="eastAsia" w:hAnsi="宋体" w:eastAsia="宋体" w:cs="宋体"/>
          <w:color w:val="000000" w:themeColor="text1"/>
          <w:szCs w:val="32"/>
          <w:lang w:val="en-US" w:eastAsia="zh-CN"/>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联系人：谢</w:t>
      </w:r>
      <w:r>
        <w:rPr>
          <w:rFonts w:hint="eastAsia" w:hAnsi="宋体" w:eastAsia="宋体" w:cs="宋体"/>
          <w:color w:val="000000" w:themeColor="text1"/>
          <w:szCs w:val="32"/>
          <w:lang w:val="en-US" w:eastAsia="zh-CN"/>
          <w14:textFill>
            <w14:solidFill>
              <w14:schemeClr w14:val="tx1"/>
            </w14:solidFill>
          </w14:textFill>
        </w:rPr>
        <w:t>女生</w:t>
      </w:r>
    </w:p>
    <w:p>
      <w:pPr>
        <w:pStyle w:val="4"/>
        <w:spacing w:line="360" w:lineRule="auto"/>
        <w:ind w:firstLine="640" w:firstLineChars="200"/>
        <w:rPr>
          <w:rFonts w:hAnsi="宋体" w:eastAsia="宋体" w:cs="宋体"/>
          <w:color w:val="000000" w:themeColor="text1"/>
          <w:szCs w:val="32"/>
          <w14:textFill>
            <w14:solidFill>
              <w14:schemeClr w14:val="tx1"/>
            </w14:solidFill>
          </w14:textFill>
        </w:rPr>
      </w:pPr>
      <w:r>
        <w:rPr>
          <w:rFonts w:hint="eastAsia" w:hAnsi="宋体" w:eastAsia="宋体" w:cs="宋体"/>
          <w:color w:val="000000" w:themeColor="text1"/>
          <w:szCs w:val="32"/>
          <w14:textFill>
            <w14:solidFill>
              <w14:schemeClr w14:val="tx1"/>
            </w14:solidFill>
          </w14:textFill>
        </w:rPr>
        <w:t xml:space="preserve">联系方式：0599-8612717 </w:t>
      </w:r>
      <w:bookmarkStart w:id="0" w:name="_GoBack"/>
      <w:bookmarkEnd w:id="0"/>
    </w:p>
    <w:p>
      <w:pPr>
        <w:pStyle w:val="2"/>
        <w:ind w:firstLine="640" w:firstLineChars="200"/>
        <w:rPr>
          <w:rFonts w:ascii="宋体" w:hAnsi="宋体" w:cs="宋体"/>
          <w:color w:val="000000" w:themeColor="text1"/>
          <w:sz w:val="32"/>
          <w:szCs w:val="32"/>
          <w14:textFill>
            <w14:solidFill>
              <w14:schemeClr w14:val="tx1"/>
            </w14:solidFill>
          </w14:textFill>
        </w:rPr>
      </w:pPr>
    </w:p>
    <w:p>
      <w:pPr>
        <w:pStyle w:val="2"/>
        <w:ind w:firstLine="640" w:firstLineChars="200"/>
        <w:rPr>
          <w:rFonts w:ascii="宋体" w:hAnsi="宋体" w:cs="宋体"/>
          <w:color w:val="000000" w:themeColor="text1"/>
          <w:sz w:val="32"/>
          <w:szCs w:val="32"/>
          <w14:textFill>
            <w14:solidFill>
              <w14:schemeClr w14:val="tx1"/>
            </w14:solidFill>
          </w14:textFill>
        </w:rPr>
      </w:pPr>
    </w:p>
    <w:p>
      <w:pPr>
        <w:pStyle w:val="2"/>
        <w:ind w:left="640" w:leftChars="200" w:firstLine="0" w:firstLineChars="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南平市第一医院</w:t>
      </w:r>
    </w:p>
    <w:p>
      <w:pPr>
        <w:pStyle w:val="2"/>
        <w:ind w:left="640" w:leftChars="200" w:firstLine="0" w:firstLineChars="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2023年12月</w:t>
      </w:r>
      <w:r>
        <w:rPr>
          <w:rFonts w:hint="eastAsia" w:ascii="宋体" w:hAnsi="宋体" w:cs="宋体"/>
          <w:color w:val="000000" w:themeColor="text1"/>
          <w:sz w:val="32"/>
          <w:szCs w:val="32"/>
          <w:lang w:val="en-US" w:eastAsia="zh-CN"/>
          <w14:textFill>
            <w14:solidFill>
              <w14:schemeClr w14:val="tx1"/>
            </w14:solidFill>
          </w14:textFill>
        </w:rPr>
        <w:t>20</w:t>
      </w:r>
      <w:r>
        <w:rPr>
          <w:rFonts w:hint="eastAsia" w:ascii="宋体" w:hAnsi="宋体" w:cs="宋体"/>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55368"/>
    <w:multiLevelType w:val="singleLevel"/>
    <w:tmpl w:val="9C555368"/>
    <w:lvl w:ilvl="0" w:tentative="0">
      <w:start w:val="1"/>
      <w:numFmt w:val="decimal"/>
      <w:suff w:val="nothing"/>
      <w:lvlText w:val="%1、"/>
      <w:lvlJc w:val="left"/>
    </w:lvl>
  </w:abstractNum>
  <w:abstractNum w:abstractNumId="1">
    <w:nsid w:val="DC9AAE60"/>
    <w:multiLevelType w:val="singleLevel"/>
    <w:tmpl w:val="DC9AAE60"/>
    <w:lvl w:ilvl="0" w:tentative="0">
      <w:start w:val="3"/>
      <w:numFmt w:val="chineseCounting"/>
      <w:suff w:val="nothing"/>
      <w:lvlText w:val="%1、"/>
      <w:lvlJc w:val="left"/>
      <w:rPr>
        <w:rFonts w:hint="eastAsia"/>
      </w:rPr>
    </w:lvl>
  </w:abstractNum>
  <w:abstractNum w:abstractNumId="2">
    <w:nsid w:val="40071800"/>
    <w:multiLevelType w:val="singleLevel"/>
    <w:tmpl w:val="4007180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TFhYzdiY2U3ZTAwMzQ4NTUzMGY2ODA4ODYyOTgifQ=="/>
  </w:docVars>
  <w:rsids>
    <w:rsidRoot w:val="67267218"/>
    <w:rsid w:val="007F6381"/>
    <w:rsid w:val="00BC1ED3"/>
    <w:rsid w:val="02D90784"/>
    <w:rsid w:val="082D5014"/>
    <w:rsid w:val="0F961AA4"/>
    <w:rsid w:val="1C8E2D94"/>
    <w:rsid w:val="21FE1081"/>
    <w:rsid w:val="22A778A0"/>
    <w:rsid w:val="2B2F1671"/>
    <w:rsid w:val="32E85998"/>
    <w:rsid w:val="34CE4C2F"/>
    <w:rsid w:val="36882D81"/>
    <w:rsid w:val="5B6B4DB4"/>
    <w:rsid w:val="66753D13"/>
    <w:rsid w:val="67267218"/>
    <w:rsid w:val="678E4265"/>
    <w:rsid w:val="685A6B82"/>
    <w:rsid w:val="69BF0909"/>
    <w:rsid w:val="6F6130C1"/>
    <w:rsid w:val="70DD4E09"/>
    <w:rsid w:val="74CF3C9F"/>
    <w:rsid w:val="75BC3C79"/>
    <w:rsid w:val="77A66381"/>
    <w:rsid w:val="7A9F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widowControl/>
      <w:overflowPunct w:val="0"/>
      <w:autoSpaceDE w:val="0"/>
      <w:autoSpaceDN w:val="0"/>
      <w:adjustRightInd w:val="0"/>
      <w:ind w:firstLine="420" w:firstLineChars="100"/>
      <w:jc w:val="left"/>
      <w:textAlignment w:val="baseline"/>
    </w:pPr>
    <w:rPr>
      <w:sz w:val="24"/>
      <w:szCs w:val="22"/>
    </w:rPr>
  </w:style>
  <w:style w:type="paragraph" w:styleId="3">
    <w:name w:val="Body Text"/>
    <w:basedOn w:val="1"/>
    <w:next w:val="1"/>
    <w:qFormat/>
    <w:uiPriority w:val="99"/>
    <w:rPr>
      <w:rFonts w:eastAsia="宋体"/>
      <w:sz w:val="36"/>
    </w:rPr>
  </w:style>
  <w:style w:type="paragraph" w:styleId="4">
    <w:name w:val="Plain Text"/>
    <w:basedOn w:val="1"/>
    <w:qFormat/>
    <w:uiPriority w:val="0"/>
    <w:rPr>
      <w:rFonts w:ascii="宋体" w:hAnsi="Courier New"/>
    </w:rPr>
  </w:style>
  <w:style w:type="paragraph" w:styleId="5">
    <w:name w:val="Body Text 2"/>
    <w:basedOn w:val="1"/>
    <w:qFormat/>
    <w:uiPriority w:val="0"/>
    <w:pPr>
      <w:spacing w:after="120" w:line="480" w:lineRule="auto"/>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jc w:val="center"/>
      <w:outlineLvl w:val="0"/>
    </w:pPr>
    <w:rPr>
      <w:rFonts w:ascii="Arial" w:hAnsi="Arial"/>
      <w:b/>
      <w:bCs/>
      <w:szCs w:val="32"/>
    </w:rPr>
  </w:style>
  <w:style w:type="character" w:styleId="10">
    <w:name w:val="Strong"/>
    <w:basedOn w:val="9"/>
    <w:qFormat/>
    <w:uiPriority w:val="0"/>
  </w:style>
  <w:style w:type="paragraph" w:customStyle="1" w:styleId="11">
    <w:name w:val="Char Char Char2 Char Char Char Char Char Char"/>
    <w:basedOn w:val="1"/>
    <w:qFormat/>
    <w:uiPriority w:val="0"/>
    <w:pPr>
      <w:spacing w:line="360" w:lineRule="auto"/>
    </w:pPr>
    <w:rPr>
      <w:rFonts w:ascii="宋体" w:hAnsi="宋体" w:eastAsia="Times New Roman"/>
      <w:b/>
      <w:kern w:val="0"/>
      <w:szCs w:val="20"/>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298</Words>
  <Characters>1702</Characters>
  <Lines>14</Lines>
  <Paragraphs>3</Paragraphs>
  <TotalTime>65</TotalTime>
  <ScaleCrop>false</ScaleCrop>
  <LinksUpToDate>false</LinksUpToDate>
  <CharactersWithSpaces>1997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2023-12-08T08:45:00Z</dcterms:created>
  <dc:creator>小君</dc:creator>
  <cp:lastModifiedBy>Administrator</cp:lastModifiedBy>
  <cp:lastPrinted>2023-11-14T07:08:00Z</cp:lastPrinted>
  <dcterms:modified xsi:type="dcterms:W3CDTF">2023-12-20T01:42:03Z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21A8E2A78BDA4C62BB1523C954DD53AE_11</vt:lpwstr>
  </property>
</Properties>
</file>